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4F" w:rsidRDefault="00316DA4">
      <w:pPr>
        <w:pStyle w:val="Corpodeltesto"/>
        <w:spacing w:before="72"/>
        <w:ind w:left="8294"/>
      </w:pPr>
      <w:r>
        <w:t>ALLEGATO 2</w:t>
      </w:r>
    </w:p>
    <w:p w:rsidR="00503F4F" w:rsidRDefault="00503F4F">
      <w:pPr>
        <w:pStyle w:val="Corpodeltesto"/>
        <w:ind w:left="0"/>
        <w:rPr>
          <w:sz w:val="26"/>
        </w:rPr>
      </w:pPr>
    </w:p>
    <w:p w:rsidR="00503F4F" w:rsidRDefault="00503F4F">
      <w:pPr>
        <w:pStyle w:val="Corpodeltesto"/>
        <w:ind w:left="0"/>
        <w:rPr>
          <w:sz w:val="22"/>
        </w:rPr>
      </w:pPr>
    </w:p>
    <w:p w:rsidR="00503F4F" w:rsidRDefault="00316DA4">
      <w:pPr>
        <w:pStyle w:val="Corpodeltesto"/>
        <w:ind w:left="134" w:right="155"/>
        <w:jc w:val="center"/>
      </w:pPr>
      <w:r>
        <w:t xml:space="preserve">MISURE A TUTELA DELL’ORSO BRUNO MARSICANO DA APPLICARSI NELLE AREE CRITICHE: “MONTI DEL CICOLANO”, “MONTI ERNICI”, “AREA ADIACENTE AL PARCO NAZIONALE D’ABRUZZO, LAZIO E MOLISE” E NELLE ZONE SPECIALI </w:t>
      </w:r>
      <w:proofErr w:type="spellStart"/>
      <w:r>
        <w:t>DI</w:t>
      </w:r>
      <w:proofErr w:type="spellEnd"/>
      <w:r>
        <w:t xml:space="preserve"> CONSERVAZIONE (ZSC) CON PRESENZA </w:t>
      </w:r>
      <w:proofErr w:type="spellStart"/>
      <w:r>
        <w:t>DI</w:t>
      </w:r>
      <w:proofErr w:type="spellEnd"/>
      <w:r>
        <w:t xml:space="preserve"> ORSO BRUNO MARSICA</w:t>
      </w:r>
      <w:r>
        <w:t>NO.</w:t>
      </w:r>
    </w:p>
    <w:p w:rsidR="00503F4F" w:rsidRDefault="00503F4F">
      <w:pPr>
        <w:pStyle w:val="Corpodeltesto"/>
        <w:ind w:left="0"/>
      </w:pPr>
    </w:p>
    <w:p w:rsidR="00503F4F" w:rsidRDefault="00316DA4">
      <w:pPr>
        <w:pStyle w:val="Corpodeltesto"/>
        <w:ind w:left="3058"/>
      </w:pPr>
      <w:r>
        <w:t>STAGIONE VENATORIA 2018/2019</w:t>
      </w:r>
    </w:p>
    <w:p w:rsidR="00503F4F" w:rsidRDefault="00503F4F">
      <w:pPr>
        <w:pStyle w:val="Corpodeltesto"/>
        <w:ind w:left="0"/>
        <w:rPr>
          <w:sz w:val="26"/>
        </w:rPr>
      </w:pPr>
    </w:p>
    <w:p w:rsidR="00503F4F" w:rsidRDefault="00503F4F">
      <w:pPr>
        <w:pStyle w:val="Corpodeltesto"/>
        <w:ind w:left="0"/>
        <w:rPr>
          <w:sz w:val="26"/>
        </w:rPr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0"/>
          <w:tab w:val="left" w:pos="541"/>
        </w:tabs>
        <w:spacing w:before="230"/>
        <w:rPr>
          <w:b/>
          <w:sz w:val="24"/>
        </w:rPr>
      </w:pPr>
      <w:r>
        <w:rPr>
          <w:sz w:val="24"/>
        </w:rPr>
        <w:t xml:space="preserve">Misure a tutela dell’Orso bruno marsicano da applicarsi nell’area critica </w:t>
      </w:r>
      <w:r>
        <w:rPr>
          <w:b/>
          <w:sz w:val="24"/>
        </w:rPr>
        <w:t>“Monti del</w:t>
      </w:r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z w:val="24"/>
        </w:rPr>
        <w:t>Cicolano</w:t>
      </w:r>
      <w:proofErr w:type="spellEnd"/>
      <w:r>
        <w:rPr>
          <w:b/>
          <w:sz w:val="24"/>
        </w:rPr>
        <w:t>”</w:t>
      </w:r>
    </w:p>
    <w:p w:rsidR="00503F4F" w:rsidRDefault="00316DA4">
      <w:pPr>
        <w:pStyle w:val="Corpodeltesto"/>
      </w:pPr>
      <w:r>
        <w:t>- Aree individuate in Tavola 1 definite come “Aree di applicazione delle misure (Aree irrinunciabili)” -</w:t>
      </w:r>
    </w:p>
    <w:p w:rsidR="00503F4F" w:rsidRDefault="00503F4F">
      <w:pPr>
        <w:pStyle w:val="Corpodeltesto"/>
        <w:spacing w:before="1"/>
        <w:ind w:left="0"/>
      </w:pP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28"/>
        <w:rPr>
          <w:sz w:val="24"/>
        </w:rPr>
      </w:pPr>
      <w:r>
        <w:rPr>
          <w:sz w:val="24"/>
        </w:rPr>
        <w:t>apertura della cacc</w:t>
      </w:r>
      <w:r>
        <w:rPr>
          <w:sz w:val="24"/>
        </w:rPr>
        <w:t>ia al cinghiale il 1 novembre 2018 con chiusura il 31 gennaio 2019 nelle giornate di mercoledì, sabato e domenica, secondo gli orari indicati nel Disciplinare</w:t>
      </w:r>
      <w:r>
        <w:rPr>
          <w:spacing w:val="-12"/>
          <w:sz w:val="24"/>
        </w:rPr>
        <w:t xml:space="preserve"> </w:t>
      </w:r>
      <w:r>
        <w:rPr>
          <w:sz w:val="24"/>
        </w:rPr>
        <w:t>regionale;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rPr>
          <w:sz w:val="24"/>
        </w:rPr>
      </w:pPr>
      <w:r>
        <w:rPr>
          <w:sz w:val="24"/>
        </w:rPr>
        <w:t>limite massimo di 10 cani per squadra utilizzabili per la caccia al cinghiale in</w:t>
      </w:r>
      <w:r>
        <w:rPr>
          <w:spacing w:val="-13"/>
          <w:sz w:val="24"/>
        </w:rPr>
        <w:t xml:space="preserve"> </w:t>
      </w:r>
      <w:r>
        <w:rPr>
          <w:sz w:val="24"/>
        </w:rPr>
        <w:t>bracc</w:t>
      </w:r>
      <w:r>
        <w:rPr>
          <w:sz w:val="24"/>
        </w:rPr>
        <w:t>ata;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29"/>
        <w:jc w:val="both"/>
        <w:rPr>
          <w:sz w:val="24"/>
        </w:rPr>
      </w:pPr>
      <w:r>
        <w:rPr>
          <w:sz w:val="24"/>
        </w:rPr>
        <w:t>i cani utilizzati nella caccia in girata ed in braccata al cinghiale dovranno essere iscritti in appositi e distinti elenchi, predisposti dall’Area Decentrata Agricoltura di Rieti o delegato all’Ambito Territoriale di Caccia (ATC) di appartenenza o da</w:t>
      </w:r>
      <w:r>
        <w:rPr>
          <w:sz w:val="24"/>
        </w:rPr>
        <w:t xml:space="preserve">ll’Azienda </w:t>
      </w:r>
      <w:proofErr w:type="spellStart"/>
      <w:r>
        <w:rPr>
          <w:sz w:val="24"/>
        </w:rPr>
        <w:t>Faunistico-Venatoria</w:t>
      </w:r>
      <w:proofErr w:type="spellEnd"/>
      <w:r>
        <w:rPr>
          <w:sz w:val="24"/>
        </w:rPr>
        <w:t xml:space="preserve"> (AFV), contenente nome della squadra, nome del cane, razza, sesso e numero di microchip. Tali elenchi andranno trasmessi agli organi di vigilanza (Comando Provinciale del CFS, Polizia Provinciale e Servizio di Vigilanza del </w:t>
      </w:r>
      <w:r>
        <w:rPr>
          <w:sz w:val="24"/>
        </w:rPr>
        <w:t>Riserva Naturale Montagne della Duchessa) prima dell’apertura della stagione di caccia al cinghiale, tali elenchi possono essere integrati nel corso della stagione</w:t>
      </w:r>
      <w:r>
        <w:rPr>
          <w:spacing w:val="-3"/>
          <w:sz w:val="24"/>
        </w:rPr>
        <w:t xml:space="preserve"> </w:t>
      </w:r>
      <w:r>
        <w:rPr>
          <w:sz w:val="24"/>
        </w:rPr>
        <w:t>venatoria;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4"/>
        <w:rPr>
          <w:sz w:val="24"/>
        </w:rPr>
      </w:pPr>
      <w:r>
        <w:rPr>
          <w:sz w:val="24"/>
        </w:rPr>
        <w:t>i cani utilizzati per le singole girate o braccate andranno indicati, prima dell’</w:t>
      </w:r>
      <w:r>
        <w:rPr>
          <w:sz w:val="24"/>
        </w:rPr>
        <w:t>inizio dell’azione di caccia, negli appositi verbali previsti dal disciplinare</w:t>
      </w:r>
      <w:r>
        <w:rPr>
          <w:spacing w:val="-2"/>
          <w:sz w:val="24"/>
        </w:rPr>
        <w:t xml:space="preserve"> </w:t>
      </w:r>
      <w:r>
        <w:rPr>
          <w:sz w:val="24"/>
        </w:rPr>
        <w:t>regionale;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spacing w:before="1"/>
        <w:ind w:right="133"/>
        <w:rPr>
          <w:sz w:val="24"/>
        </w:rPr>
      </w:pPr>
      <w:r>
        <w:rPr>
          <w:sz w:val="24"/>
        </w:rPr>
        <w:t>divieto di caccia al cinghiale in forma vagante esercitata al di fuori della caccia in squadre autorizzate di girata o</w:t>
      </w:r>
      <w:r>
        <w:rPr>
          <w:spacing w:val="-1"/>
          <w:sz w:val="24"/>
        </w:rPr>
        <w:t xml:space="preserve"> </w:t>
      </w:r>
      <w:r>
        <w:rPr>
          <w:sz w:val="24"/>
        </w:rPr>
        <w:t>braccata;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1"/>
        <w:rPr>
          <w:sz w:val="24"/>
        </w:rPr>
      </w:pPr>
      <w:r>
        <w:rPr>
          <w:sz w:val="24"/>
        </w:rPr>
        <w:t>per la caccia alla piccola selvaggina è consentito esclusivamente l’utilizzo di munizioni spezzate con pallini di diametro non superiore a 3,9 mm (numero</w:t>
      </w:r>
      <w:r>
        <w:rPr>
          <w:spacing w:val="-4"/>
          <w:sz w:val="24"/>
        </w:rPr>
        <w:t xml:space="preserve"> </w:t>
      </w:r>
      <w:r>
        <w:rPr>
          <w:sz w:val="24"/>
        </w:rPr>
        <w:t>0);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8"/>
        <w:rPr>
          <w:sz w:val="24"/>
        </w:rPr>
      </w:pPr>
      <w:r>
        <w:rPr>
          <w:sz w:val="24"/>
        </w:rPr>
        <w:t xml:space="preserve">obbligo di vaccinazione contro il cimurro, </w:t>
      </w:r>
      <w:proofErr w:type="spellStart"/>
      <w:r>
        <w:rPr>
          <w:sz w:val="24"/>
        </w:rPr>
        <w:t>parvovirosi</w:t>
      </w:r>
      <w:proofErr w:type="spellEnd"/>
      <w:r>
        <w:rPr>
          <w:sz w:val="24"/>
        </w:rPr>
        <w:t>, epatite infettiva e leptospirosi (tutte ri</w:t>
      </w:r>
      <w:r>
        <w:rPr>
          <w:sz w:val="24"/>
        </w:rPr>
        <w:t>comprese in un unico ciclo vaccinale) per tutti i cani da caccia che frequentano</w:t>
      </w:r>
      <w:r>
        <w:rPr>
          <w:spacing w:val="-9"/>
          <w:sz w:val="24"/>
        </w:rPr>
        <w:t xml:space="preserve"> </w:t>
      </w:r>
      <w:r>
        <w:rPr>
          <w:sz w:val="24"/>
        </w:rPr>
        <w:t>l’area;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rPr>
          <w:sz w:val="24"/>
        </w:rPr>
      </w:pPr>
      <w:r>
        <w:rPr>
          <w:sz w:val="24"/>
        </w:rPr>
        <w:t>lo svolgimento delle gare cinofile è vincolato al parere favorevole da parte di</w:t>
      </w:r>
      <w:r>
        <w:rPr>
          <w:spacing w:val="-2"/>
          <w:sz w:val="24"/>
        </w:rPr>
        <w:t xml:space="preserve"> </w:t>
      </w:r>
      <w:r>
        <w:rPr>
          <w:sz w:val="24"/>
        </w:rPr>
        <w:t>ISPRA.</w:t>
      </w:r>
    </w:p>
    <w:p w:rsidR="00503F4F" w:rsidRDefault="00503F4F">
      <w:pPr>
        <w:pStyle w:val="Corpodeltesto"/>
        <w:ind w:left="0"/>
        <w:rPr>
          <w:sz w:val="26"/>
        </w:rPr>
      </w:pPr>
    </w:p>
    <w:p w:rsidR="00503F4F" w:rsidRDefault="00503F4F">
      <w:pPr>
        <w:pStyle w:val="Corpodeltesto"/>
        <w:ind w:left="0"/>
        <w:rPr>
          <w:sz w:val="22"/>
        </w:rPr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1"/>
        </w:tabs>
        <w:ind w:right="130"/>
        <w:jc w:val="both"/>
        <w:rPr>
          <w:sz w:val="24"/>
        </w:rPr>
      </w:pPr>
      <w:r>
        <w:rPr>
          <w:sz w:val="24"/>
        </w:rPr>
        <w:t xml:space="preserve">Misure a tutela dell’Orso bruno marsicano da applicarsi nelle aree critiche </w:t>
      </w:r>
      <w:r>
        <w:rPr>
          <w:b/>
          <w:sz w:val="24"/>
        </w:rPr>
        <w:t>“M</w:t>
      </w:r>
      <w:r>
        <w:rPr>
          <w:b/>
          <w:sz w:val="24"/>
        </w:rPr>
        <w:t xml:space="preserve">onti </w:t>
      </w:r>
      <w:proofErr w:type="spellStart"/>
      <w:r>
        <w:rPr>
          <w:b/>
          <w:sz w:val="24"/>
        </w:rPr>
        <w:t>Ernici</w:t>
      </w:r>
      <w:proofErr w:type="spellEnd"/>
      <w:r>
        <w:rPr>
          <w:b/>
          <w:sz w:val="24"/>
        </w:rPr>
        <w:t xml:space="preserve">” </w:t>
      </w:r>
      <w:r>
        <w:rPr>
          <w:sz w:val="24"/>
        </w:rPr>
        <w:t xml:space="preserve">(Tavola 2) e </w:t>
      </w:r>
      <w:r>
        <w:rPr>
          <w:b/>
          <w:sz w:val="24"/>
        </w:rPr>
        <w:t xml:space="preserve">“Area adiacente al Parco Nazionale d’Abruzzo, Lazio e Molise” </w:t>
      </w:r>
      <w:r>
        <w:rPr>
          <w:sz w:val="24"/>
        </w:rPr>
        <w:t>(Tavola 3) e nelle aree ove è consentita l’attività venatoria all’interno delle Zone Speciali di Conservazione (ZSC) con presenza di Orso bruno marsicano di seguito</w:t>
      </w:r>
      <w:r>
        <w:rPr>
          <w:spacing w:val="-3"/>
          <w:sz w:val="24"/>
        </w:rPr>
        <w:t xml:space="preserve"> </w:t>
      </w:r>
      <w:r>
        <w:rPr>
          <w:sz w:val="24"/>
        </w:rPr>
        <w:t>ele</w:t>
      </w:r>
      <w:r>
        <w:rPr>
          <w:sz w:val="24"/>
        </w:rPr>
        <w:t>ncati:</w:t>
      </w:r>
    </w:p>
    <w:p w:rsidR="00503F4F" w:rsidRDefault="00503F4F">
      <w:pPr>
        <w:pStyle w:val="Corpodeltesto"/>
        <w:spacing w:before="6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3401"/>
        <w:gridCol w:w="3262"/>
      </w:tblGrid>
      <w:tr w:rsidR="00503F4F">
        <w:trPr>
          <w:trHeight w:val="350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Zone Speciali di Conservazione (ZSC)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Aree interessate ricadenti nei Comuni</w:t>
            </w:r>
          </w:p>
        </w:tc>
      </w:tr>
      <w:tr w:rsidR="00503F4F">
        <w:trPr>
          <w:trHeight w:val="580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del </w:t>
            </w:r>
            <w:proofErr w:type="spellStart"/>
            <w:r>
              <w:rPr>
                <w:sz w:val="20"/>
              </w:rPr>
              <w:t>Cicolano</w:t>
            </w:r>
            <w:proofErr w:type="spellEnd"/>
            <w:r>
              <w:rPr>
                <w:sz w:val="20"/>
              </w:rPr>
              <w:t xml:space="preserve"> (RI)</w:t>
            </w:r>
          </w:p>
        </w:tc>
        <w:tc>
          <w:tcPr>
            <w:tcW w:w="3401" w:type="dxa"/>
          </w:tcPr>
          <w:p w:rsidR="00503F4F" w:rsidRPr="005D297F" w:rsidRDefault="00316DA4">
            <w:pPr>
              <w:pStyle w:val="TableParagraph"/>
              <w:spacing w:line="240" w:lineRule="auto"/>
              <w:ind w:right="230"/>
              <w:rPr>
                <w:sz w:val="20"/>
                <w:highlight w:val="yellow"/>
              </w:rPr>
            </w:pPr>
            <w:r w:rsidRPr="005D297F">
              <w:rPr>
                <w:sz w:val="20"/>
                <w:highlight w:val="yellow"/>
              </w:rPr>
              <w:t>IT6020007 “Gruppo Monte Terminillo”</w:t>
            </w:r>
          </w:p>
        </w:tc>
        <w:tc>
          <w:tcPr>
            <w:tcW w:w="3262" w:type="dxa"/>
          </w:tcPr>
          <w:p w:rsidR="00503F4F" w:rsidRPr="005D297F" w:rsidRDefault="00316DA4">
            <w:pPr>
              <w:pStyle w:val="TableParagraph"/>
              <w:spacing w:line="240" w:lineRule="auto"/>
              <w:ind w:left="110" w:right="51"/>
              <w:rPr>
                <w:sz w:val="20"/>
                <w:highlight w:val="yellow"/>
              </w:rPr>
            </w:pPr>
            <w:r w:rsidRPr="005D297F">
              <w:rPr>
                <w:sz w:val="20"/>
                <w:highlight w:val="yellow"/>
              </w:rPr>
              <w:t xml:space="preserve">Cantalice, </w:t>
            </w:r>
            <w:proofErr w:type="spellStart"/>
            <w:r w:rsidRPr="005D297F">
              <w:rPr>
                <w:sz w:val="20"/>
                <w:highlight w:val="yellow"/>
              </w:rPr>
              <w:t>Micigliano</w:t>
            </w:r>
            <w:proofErr w:type="spellEnd"/>
            <w:r w:rsidRPr="005D297F">
              <w:rPr>
                <w:sz w:val="20"/>
                <w:highlight w:val="yellow"/>
              </w:rPr>
              <w:t>, Leonessa, Posta, Rieti</w:t>
            </w:r>
          </w:p>
        </w:tc>
      </w:tr>
      <w:tr w:rsidR="00503F4F">
        <w:trPr>
          <w:trHeight w:val="350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del </w:t>
            </w:r>
            <w:proofErr w:type="spellStart"/>
            <w:r>
              <w:rPr>
                <w:sz w:val="20"/>
              </w:rPr>
              <w:t>Cicolano</w:t>
            </w:r>
            <w:proofErr w:type="spellEnd"/>
            <w:r>
              <w:rPr>
                <w:sz w:val="20"/>
              </w:rPr>
              <w:t xml:space="preserve"> (RI)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IT6020013 “</w:t>
            </w:r>
            <w:r w:rsidRPr="005D297F">
              <w:rPr>
                <w:sz w:val="20"/>
                <w:highlight w:val="yellow"/>
              </w:rPr>
              <w:t>Gole del Velino”</w:t>
            </w:r>
          </w:p>
        </w:tc>
        <w:tc>
          <w:tcPr>
            <w:tcW w:w="3262" w:type="dxa"/>
          </w:tcPr>
          <w:p w:rsidR="00503F4F" w:rsidRPr="005D297F" w:rsidRDefault="00316DA4">
            <w:pPr>
              <w:pStyle w:val="TableParagraph"/>
              <w:ind w:left="110"/>
              <w:rPr>
                <w:sz w:val="20"/>
                <w:highlight w:val="yellow"/>
              </w:rPr>
            </w:pPr>
            <w:proofErr w:type="spellStart"/>
            <w:r w:rsidRPr="005D297F">
              <w:rPr>
                <w:sz w:val="20"/>
                <w:highlight w:val="yellow"/>
              </w:rPr>
              <w:t>Micigliano</w:t>
            </w:r>
            <w:proofErr w:type="spellEnd"/>
            <w:r w:rsidRPr="005D297F">
              <w:rPr>
                <w:sz w:val="20"/>
                <w:highlight w:val="yellow"/>
              </w:rPr>
              <w:t xml:space="preserve">, </w:t>
            </w:r>
            <w:proofErr w:type="spellStart"/>
            <w:r w:rsidRPr="005D297F">
              <w:rPr>
                <w:sz w:val="20"/>
                <w:highlight w:val="yellow"/>
              </w:rPr>
              <w:t>Antrodoco</w:t>
            </w:r>
            <w:proofErr w:type="spellEnd"/>
          </w:p>
        </w:tc>
      </w:tr>
      <w:tr w:rsidR="00503F4F">
        <w:trPr>
          <w:trHeight w:val="349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del </w:t>
            </w:r>
            <w:proofErr w:type="spellStart"/>
            <w:r>
              <w:rPr>
                <w:sz w:val="20"/>
              </w:rPr>
              <w:t>Cicolano</w:t>
            </w:r>
            <w:proofErr w:type="spellEnd"/>
            <w:r>
              <w:rPr>
                <w:sz w:val="20"/>
              </w:rPr>
              <w:t xml:space="preserve"> (RI)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IT6020014 “</w:t>
            </w:r>
            <w:r w:rsidRPr="005D297F">
              <w:rPr>
                <w:sz w:val="20"/>
                <w:highlight w:val="yellow"/>
              </w:rPr>
              <w:t xml:space="preserve">Piana di </w:t>
            </w:r>
            <w:proofErr w:type="spellStart"/>
            <w:r w:rsidRPr="005D297F">
              <w:rPr>
                <w:sz w:val="20"/>
                <w:highlight w:val="yellow"/>
              </w:rPr>
              <w:t>Rascino</w:t>
            </w:r>
            <w:proofErr w:type="spellEnd"/>
            <w:r>
              <w:rPr>
                <w:sz w:val="20"/>
              </w:rPr>
              <w:t>”</w:t>
            </w:r>
          </w:p>
        </w:tc>
        <w:tc>
          <w:tcPr>
            <w:tcW w:w="3262" w:type="dxa"/>
          </w:tcPr>
          <w:p w:rsidR="00503F4F" w:rsidRPr="005D297F" w:rsidRDefault="00316DA4">
            <w:pPr>
              <w:pStyle w:val="TableParagraph"/>
              <w:ind w:left="110"/>
              <w:rPr>
                <w:sz w:val="20"/>
                <w:highlight w:val="yellow"/>
              </w:rPr>
            </w:pPr>
            <w:proofErr w:type="spellStart"/>
            <w:r w:rsidRPr="005D297F">
              <w:rPr>
                <w:sz w:val="20"/>
                <w:highlight w:val="yellow"/>
              </w:rPr>
              <w:t>Fiamignano</w:t>
            </w:r>
            <w:proofErr w:type="spellEnd"/>
          </w:p>
        </w:tc>
      </w:tr>
      <w:tr w:rsidR="00503F4F">
        <w:trPr>
          <w:trHeight w:val="580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del </w:t>
            </w:r>
            <w:proofErr w:type="spellStart"/>
            <w:r>
              <w:rPr>
                <w:sz w:val="20"/>
              </w:rPr>
              <w:t>Cicolano</w:t>
            </w:r>
            <w:proofErr w:type="spellEnd"/>
            <w:r>
              <w:rPr>
                <w:sz w:val="20"/>
              </w:rPr>
              <w:t xml:space="preserve"> (RI)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IT6020015 “</w:t>
            </w:r>
            <w:r w:rsidRPr="005D297F">
              <w:rPr>
                <w:sz w:val="20"/>
                <w:highlight w:val="yellow"/>
              </w:rPr>
              <w:t xml:space="preserve">Complesso del Monte </w:t>
            </w:r>
            <w:proofErr w:type="spellStart"/>
            <w:r w:rsidRPr="005D297F">
              <w:rPr>
                <w:sz w:val="20"/>
                <w:highlight w:val="yellow"/>
              </w:rPr>
              <w:t>Nuria</w:t>
            </w:r>
            <w:proofErr w:type="spellEnd"/>
            <w:r w:rsidRPr="005D297F">
              <w:rPr>
                <w:sz w:val="20"/>
                <w:highlight w:val="yellow"/>
              </w:rPr>
              <w:t>”</w:t>
            </w:r>
          </w:p>
        </w:tc>
        <w:tc>
          <w:tcPr>
            <w:tcW w:w="3262" w:type="dxa"/>
          </w:tcPr>
          <w:p w:rsidR="00503F4F" w:rsidRPr="005D297F" w:rsidRDefault="00316DA4">
            <w:pPr>
              <w:pStyle w:val="TableParagraph"/>
              <w:spacing w:line="240" w:lineRule="auto"/>
              <w:ind w:left="110"/>
              <w:rPr>
                <w:sz w:val="20"/>
                <w:highlight w:val="yellow"/>
              </w:rPr>
            </w:pPr>
            <w:r w:rsidRPr="005D297F">
              <w:rPr>
                <w:sz w:val="20"/>
                <w:highlight w:val="yellow"/>
              </w:rPr>
              <w:t xml:space="preserve">Borgo Velino, </w:t>
            </w:r>
            <w:proofErr w:type="spellStart"/>
            <w:r w:rsidRPr="005D297F">
              <w:rPr>
                <w:sz w:val="20"/>
                <w:highlight w:val="yellow"/>
              </w:rPr>
              <w:t>Antrodoco</w:t>
            </w:r>
            <w:proofErr w:type="spellEnd"/>
            <w:r w:rsidRPr="005D297F">
              <w:rPr>
                <w:sz w:val="20"/>
                <w:highlight w:val="yellow"/>
              </w:rPr>
              <w:t xml:space="preserve">, </w:t>
            </w:r>
            <w:proofErr w:type="spellStart"/>
            <w:r w:rsidRPr="005D297F">
              <w:rPr>
                <w:sz w:val="20"/>
                <w:highlight w:val="yellow"/>
              </w:rPr>
              <w:t>Petrella</w:t>
            </w:r>
            <w:proofErr w:type="spellEnd"/>
            <w:r w:rsidRPr="005D297F">
              <w:rPr>
                <w:sz w:val="20"/>
                <w:highlight w:val="yellow"/>
              </w:rPr>
              <w:t xml:space="preserve"> Salto, </w:t>
            </w:r>
            <w:proofErr w:type="spellStart"/>
            <w:r w:rsidRPr="005D297F">
              <w:rPr>
                <w:sz w:val="20"/>
                <w:highlight w:val="yellow"/>
              </w:rPr>
              <w:t>Fiamignano</w:t>
            </w:r>
            <w:proofErr w:type="spellEnd"/>
          </w:p>
        </w:tc>
      </w:tr>
    </w:tbl>
    <w:p w:rsidR="00503F4F" w:rsidRDefault="00503F4F">
      <w:pPr>
        <w:rPr>
          <w:sz w:val="20"/>
        </w:rPr>
        <w:sectPr w:rsidR="00503F4F">
          <w:type w:val="continuous"/>
          <w:pgSz w:w="11910" w:h="16840"/>
          <w:pgMar w:top="13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3401"/>
        <w:gridCol w:w="3262"/>
      </w:tblGrid>
      <w:tr w:rsidR="00503F4F">
        <w:trPr>
          <w:trHeight w:val="921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Monti </w:t>
            </w:r>
            <w:proofErr w:type="spellStart"/>
            <w:r>
              <w:rPr>
                <w:sz w:val="20"/>
              </w:rPr>
              <w:t>Ernici</w:t>
            </w:r>
            <w:proofErr w:type="spellEnd"/>
            <w:r>
              <w:rPr>
                <w:sz w:val="20"/>
              </w:rPr>
              <w:t xml:space="preserve">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ind w:right="91"/>
              <w:rPr>
                <w:sz w:val="20"/>
              </w:rPr>
            </w:pPr>
            <w:r>
              <w:rPr>
                <w:sz w:val="20"/>
              </w:rPr>
              <w:t xml:space="preserve">IT6050010 “Valle dell’Inferno” limitatamente alla porzione di circa 7,3 ettari esterna all’Oasi Bosco di </w:t>
            </w:r>
            <w:proofErr w:type="spellStart"/>
            <w:r>
              <w:rPr>
                <w:sz w:val="20"/>
              </w:rPr>
              <w:t>Trisulti-</w:t>
            </w:r>
            <w:proofErr w:type="spellEnd"/>
          </w:p>
          <w:p w:rsidR="00503F4F" w:rsidRDefault="0031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Inferno (nell’Oasi la caccia e vietata)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Vico nel Lazio, Alatri</w:t>
            </w:r>
          </w:p>
        </w:tc>
      </w:tr>
      <w:tr w:rsidR="00503F4F">
        <w:trPr>
          <w:trHeight w:val="580"/>
        </w:trPr>
        <w:tc>
          <w:tcPr>
            <w:tcW w:w="2943" w:type="dxa"/>
          </w:tcPr>
          <w:p w:rsidR="00503F4F" w:rsidRDefault="0031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</w:t>
            </w:r>
            <w:proofErr w:type="spellStart"/>
            <w:r>
              <w:rPr>
                <w:sz w:val="20"/>
              </w:rPr>
              <w:t>Ernici</w:t>
            </w:r>
            <w:proofErr w:type="spellEnd"/>
            <w:r>
              <w:rPr>
                <w:sz w:val="20"/>
              </w:rPr>
              <w:t xml:space="preserve">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ind w:right="230"/>
              <w:rPr>
                <w:sz w:val="20"/>
              </w:rPr>
            </w:pPr>
            <w:r>
              <w:rPr>
                <w:sz w:val="20"/>
              </w:rPr>
              <w:t xml:space="preserve">IT6050011 “Monte Passeggio e Pizzo </w:t>
            </w:r>
            <w:proofErr w:type="spellStart"/>
            <w:r>
              <w:rPr>
                <w:sz w:val="20"/>
              </w:rPr>
              <w:t>Deta</w:t>
            </w:r>
            <w:proofErr w:type="spellEnd"/>
            <w:r>
              <w:rPr>
                <w:sz w:val="20"/>
              </w:rPr>
              <w:t xml:space="preserve"> (versante sud)”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Collepardo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Veroli</w:t>
            </w:r>
            <w:proofErr w:type="spellEnd"/>
            <w:r>
              <w:rPr>
                <w:sz w:val="20"/>
              </w:rPr>
              <w:t>, Alatri</w:t>
            </w:r>
          </w:p>
        </w:tc>
      </w:tr>
      <w:tr w:rsidR="00503F4F">
        <w:trPr>
          <w:trHeight w:val="580"/>
        </w:trPr>
        <w:tc>
          <w:tcPr>
            <w:tcW w:w="2943" w:type="dxa"/>
          </w:tcPr>
          <w:p w:rsidR="00503F4F" w:rsidRDefault="0031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</w:t>
            </w:r>
            <w:proofErr w:type="spellStart"/>
            <w:r>
              <w:rPr>
                <w:sz w:val="20"/>
              </w:rPr>
              <w:t>Ernici</w:t>
            </w:r>
            <w:proofErr w:type="spellEnd"/>
            <w:r>
              <w:rPr>
                <w:sz w:val="20"/>
              </w:rPr>
              <w:t xml:space="preserve">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ind w:right="230"/>
              <w:rPr>
                <w:sz w:val="20"/>
              </w:rPr>
            </w:pPr>
            <w:r>
              <w:rPr>
                <w:sz w:val="20"/>
              </w:rPr>
              <w:t xml:space="preserve">IT6050012 “Monte Passeggio e Pizzo </w:t>
            </w:r>
            <w:proofErr w:type="spellStart"/>
            <w:r>
              <w:rPr>
                <w:sz w:val="20"/>
              </w:rPr>
              <w:t>Deta</w:t>
            </w:r>
            <w:proofErr w:type="spellEnd"/>
            <w:r>
              <w:rPr>
                <w:sz w:val="20"/>
              </w:rPr>
              <w:t xml:space="preserve"> (area sommitale)”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Alatri, </w:t>
            </w:r>
            <w:proofErr w:type="spellStart"/>
            <w:r>
              <w:rPr>
                <w:sz w:val="20"/>
              </w:rPr>
              <w:t>Veroli</w:t>
            </w:r>
            <w:proofErr w:type="spellEnd"/>
          </w:p>
        </w:tc>
      </w:tr>
      <w:tr w:rsidR="00503F4F">
        <w:trPr>
          <w:trHeight w:val="578"/>
        </w:trPr>
        <w:tc>
          <w:tcPr>
            <w:tcW w:w="2943" w:type="dxa"/>
          </w:tcPr>
          <w:p w:rsidR="00503F4F" w:rsidRDefault="0031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</w:t>
            </w:r>
            <w:proofErr w:type="spellStart"/>
            <w:r>
              <w:rPr>
                <w:sz w:val="20"/>
              </w:rPr>
              <w:t>Ernici</w:t>
            </w:r>
            <w:proofErr w:type="spellEnd"/>
            <w:r>
              <w:rPr>
                <w:sz w:val="20"/>
              </w:rPr>
              <w:t xml:space="preserve">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IT6050014 “Vallone </w:t>
            </w:r>
            <w:proofErr w:type="spellStart"/>
            <w:r>
              <w:rPr>
                <w:sz w:val="20"/>
              </w:rPr>
              <w:t>Lacerno</w:t>
            </w:r>
            <w:proofErr w:type="spellEnd"/>
            <w:r>
              <w:rPr>
                <w:sz w:val="20"/>
              </w:rPr>
              <w:t xml:space="preserve"> (fondovalle)”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Pescosolido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Campoli</w:t>
            </w:r>
            <w:proofErr w:type="spellEnd"/>
            <w:r>
              <w:rPr>
                <w:sz w:val="20"/>
              </w:rPr>
              <w:t xml:space="preserve"> Appennino</w:t>
            </w:r>
          </w:p>
        </w:tc>
      </w:tr>
      <w:tr w:rsidR="00503F4F">
        <w:trPr>
          <w:trHeight w:val="1041"/>
        </w:trPr>
        <w:tc>
          <w:tcPr>
            <w:tcW w:w="2943" w:type="dxa"/>
          </w:tcPr>
          <w:p w:rsidR="00503F4F" w:rsidRDefault="0031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Monti </w:t>
            </w:r>
            <w:proofErr w:type="spellStart"/>
            <w:r>
              <w:rPr>
                <w:sz w:val="20"/>
              </w:rPr>
              <w:t>Ernici</w:t>
            </w:r>
            <w:proofErr w:type="spellEnd"/>
            <w:r>
              <w:rPr>
                <w:sz w:val="20"/>
              </w:rPr>
              <w:t xml:space="preserve">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IT6050016 “Monte </w:t>
            </w:r>
            <w:proofErr w:type="spellStart"/>
            <w:r>
              <w:rPr>
                <w:sz w:val="20"/>
              </w:rPr>
              <w:t>Ortara</w:t>
            </w:r>
            <w:proofErr w:type="spellEnd"/>
            <w:r>
              <w:rPr>
                <w:sz w:val="20"/>
              </w:rPr>
              <w:t xml:space="preserve"> e Monte La Monna” limitatamente alla porzione</w:t>
            </w:r>
          </w:p>
          <w:p w:rsidR="00503F4F" w:rsidRDefault="00316DA4">
            <w:pPr>
              <w:pStyle w:val="TableParagraph"/>
              <w:spacing w:line="240" w:lineRule="auto"/>
              <w:ind w:right="230"/>
              <w:rPr>
                <w:sz w:val="20"/>
              </w:rPr>
            </w:pPr>
            <w:r>
              <w:rPr>
                <w:sz w:val="20"/>
              </w:rPr>
              <w:t xml:space="preserve">esterna all’Oasi Bosco di </w:t>
            </w:r>
            <w:proofErr w:type="spellStart"/>
            <w:r>
              <w:rPr>
                <w:sz w:val="20"/>
              </w:rPr>
              <w:t>Trisulti-</w:t>
            </w:r>
            <w:proofErr w:type="spellEnd"/>
            <w:r>
              <w:rPr>
                <w:sz w:val="20"/>
              </w:rPr>
              <w:t xml:space="preserve"> Inferno (nell’Oasi la caccia e vietata)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Vico nel Lazio</w:t>
            </w:r>
          </w:p>
        </w:tc>
      </w:tr>
      <w:tr w:rsidR="00503F4F">
        <w:trPr>
          <w:trHeight w:val="350"/>
        </w:trPr>
        <w:tc>
          <w:tcPr>
            <w:tcW w:w="2943" w:type="dxa"/>
          </w:tcPr>
          <w:p w:rsidR="00503F4F" w:rsidRDefault="0031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 adiacente al PNALM (FR)</w:t>
            </w:r>
          </w:p>
        </w:tc>
        <w:tc>
          <w:tcPr>
            <w:tcW w:w="3401" w:type="dxa"/>
          </w:tcPr>
          <w:p w:rsidR="00503F4F" w:rsidRDefault="0031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IT6050017 “Pendici di Colle Nero”</w:t>
            </w:r>
          </w:p>
        </w:tc>
        <w:tc>
          <w:tcPr>
            <w:tcW w:w="3262" w:type="dxa"/>
          </w:tcPr>
          <w:p w:rsidR="00503F4F" w:rsidRDefault="00316DA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San Donato </w:t>
            </w:r>
            <w:proofErr w:type="spellStart"/>
            <w:r>
              <w:rPr>
                <w:sz w:val="20"/>
              </w:rPr>
              <w:t>Val</w:t>
            </w:r>
            <w:proofErr w:type="spellEnd"/>
            <w:r>
              <w:rPr>
                <w:sz w:val="20"/>
              </w:rPr>
              <w:t xml:space="preserve"> di Comino, </w:t>
            </w:r>
            <w:proofErr w:type="spellStart"/>
            <w:r>
              <w:rPr>
                <w:sz w:val="20"/>
              </w:rPr>
              <w:t>Settefrati</w:t>
            </w:r>
            <w:proofErr w:type="spellEnd"/>
          </w:p>
        </w:tc>
      </w:tr>
    </w:tbl>
    <w:p w:rsidR="00503F4F" w:rsidRDefault="00316DA4">
      <w:pPr>
        <w:pStyle w:val="Corpodeltesto"/>
        <w:ind w:right="87"/>
      </w:pPr>
      <w:r>
        <w:t>- Aree individuate in Tavola 2 e Tavola 3 definite come “Aree di applicazione delle misure (Aree irrinunciabili)” -</w:t>
      </w:r>
    </w:p>
    <w:p w:rsidR="00503F4F" w:rsidRDefault="00503F4F">
      <w:pPr>
        <w:pStyle w:val="Corpodeltesto"/>
        <w:spacing w:before="4"/>
        <w:ind w:left="0"/>
        <w:rPr>
          <w:sz w:val="23"/>
        </w:rPr>
      </w:pP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28"/>
        <w:rPr>
          <w:sz w:val="24"/>
        </w:rPr>
      </w:pPr>
      <w:r>
        <w:rPr>
          <w:sz w:val="24"/>
        </w:rPr>
        <w:t>apertura della caccia al cinghiale il 1 novembre 2018 con chiusura il 31 gennaio 2019 nelle giornate di mercoledì, sabato e domenica, secondo gli orari indicati nel Disciplinare</w:t>
      </w:r>
      <w:r>
        <w:rPr>
          <w:spacing w:val="-13"/>
          <w:sz w:val="24"/>
        </w:rPr>
        <w:t xml:space="preserve"> </w:t>
      </w:r>
      <w:r>
        <w:rPr>
          <w:sz w:val="24"/>
        </w:rPr>
        <w:t>regionale;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0" w:hanging="283"/>
        <w:jc w:val="both"/>
        <w:rPr>
          <w:sz w:val="24"/>
        </w:rPr>
      </w:pPr>
      <w:r>
        <w:rPr>
          <w:sz w:val="24"/>
        </w:rPr>
        <w:t>nelle more dell’entrata in vigore del divieto di caccia in braccata</w:t>
      </w:r>
      <w:r>
        <w:rPr>
          <w:sz w:val="24"/>
        </w:rPr>
        <w:t xml:space="preserve"> (stagione venatoria 2020- 2021) e conseguente utilizzo esclusivo della girata e del tiro da appostamento come tecniche di caccia al cinghiale, è stabilito un limite massimo di 5 cani per squadra utilizzabili per la caccia al cinghiale in</w:t>
      </w:r>
      <w:r>
        <w:rPr>
          <w:spacing w:val="-1"/>
          <w:sz w:val="24"/>
        </w:rPr>
        <w:t xml:space="preserve"> </w:t>
      </w:r>
      <w:r>
        <w:rPr>
          <w:sz w:val="24"/>
        </w:rPr>
        <w:t>braccata;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28" w:hanging="283"/>
        <w:jc w:val="both"/>
        <w:rPr>
          <w:sz w:val="24"/>
        </w:rPr>
      </w:pPr>
      <w:r>
        <w:rPr>
          <w:sz w:val="24"/>
        </w:rPr>
        <w:t xml:space="preserve">i cani </w:t>
      </w:r>
      <w:r>
        <w:rPr>
          <w:sz w:val="24"/>
        </w:rPr>
        <w:t>utilizzati nella caccia in girata ed in braccata al cinghiale dovranno essere iscritti in appositi e distinti elenchi, predisposti dall’Area Decentrata Agricoltura per competenza territoriale o delegato all’Ambito Territoriale di Caccia (ATC) di appartenen</w:t>
      </w:r>
      <w:r>
        <w:rPr>
          <w:sz w:val="24"/>
        </w:rPr>
        <w:t xml:space="preserve">za o dall’Azienda </w:t>
      </w:r>
      <w:proofErr w:type="spellStart"/>
      <w:r>
        <w:rPr>
          <w:sz w:val="24"/>
        </w:rPr>
        <w:t>Faunistico-Venatoria</w:t>
      </w:r>
      <w:proofErr w:type="spellEnd"/>
      <w:r>
        <w:rPr>
          <w:sz w:val="24"/>
        </w:rPr>
        <w:t xml:space="preserve"> (AFV), contenente nome della squadra, nome del cane, razza, sesso e numero di microchip. Tali elenchi andranno trasmessi agli organi di vigilanza (Comando Provinciale dei Carabinieri Forestali, Polizia Provinciale, Se</w:t>
      </w:r>
      <w:r>
        <w:rPr>
          <w:sz w:val="24"/>
        </w:rPr>
        <w:t xml:space="preserve">rvizio di Vigilanza del Parco Regionale Monti </w:t>
      </w:r>
      <w:proofErr w:type="spellStart"/>
      <w:r>
        <w:rPr>
          <w:sz w:val="24"/>
        </w:rPr>
        <w:t>Simbruini</w:t>
      </w:r>
      <w:proofErr w:type="spellEnd"/>
      <w:r>
        <w:rPr>
          <w:sz w:val="24"/>
        </w:rPr>
        <w:t xml:space="preserve"> ovvero del Parco Nazionale d’Abruzzo, Lazio e Molise) prima dell’apertura della stagione di caccia al cinghiale, tale elenco può essere integrato nel corso della stagione</w:t>
      </w:r>
      <w:r>
        <w:rPr>
          <w:spacing w:val="-3"/>
          <w:sz w:val="24"/>
        </w:rPr>
        <w:t xml:space="preserve"> </w:t>
      </w:r>
      <w:r>
        <w:rPr>
          <w:sz w:val="24"/>
        </w:rPr>
        <w:t>venatoria;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spacing w:before="1"/>
        <w:ind w:right="135" w:hanging="283"/>
        <w:rPr>
          <w:sz w:val="24"/>
        </w:rPr>
      </w:pPr>
      <w:r>
        <w:rPr>
          <w:sz w:val="24"/>
        </w:rPr>
        <w:t>i cani utilizzati per le singole girate o braccate andranno indicati, prima dell’inizio dell’azione di caccia, nell’appositi verbali previsti dal disciplinare</w:t>
      </w:r>
      <w:r>
        <w:rPr>
          <w:spacing w:val="-3"/>
          <w:sz w:val="24"/>
        </w:rPr>
        <w:t xml:space="preserve"> </w:t>
      </w:r>
      <w:r>
        <w:rPr>
          <w:sz w:val="24"/>
        </w:rPr>
        <w:t>regionale;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5" w:hanging="283"/>
        <w:rPr>
          <w:sz w:val="24"/>
        </w:rPr>
      </w:pPr>
      <w:r>
        <w:rPr>
          <w:sz w:val="24"/>
        </w:rPr>
        <w:t>divieto di caccia al cinghiale in forma vagante esercitata al di fuori della caccia in</w:t>
      </w:r>
      <w:r>
        <w:rPr>
          <w:sz w:val="24"/>
        </w:rPr>
        <w:t xml:space="preserve"> squadre autorizzate di girata o</w:t>
      </w:r>
      <w:r>
        <w:rPr>
          <w:spacing w:val="-1"/>
          <w:sz w:val="24"/>
        </w:rPr>
        <w:t xml:space="preserve"> </w:t>
      </w:r>
      <w:r>
        <w:rPr>
          <w:sz w:val="24"/>
        </w:rPr>
        <w:t>braccata;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hanging="283"/>
        <w:rPr>
          <w:sz w:val="24"/>
        </w:rPr>
      </w:pPr>
      <w:r>
        <w:rPr>
          <w:sz w:val="24"/>
        </w:rPr>
        <w:t>divieto di caccia alla volpe in squadra con il cane da</w:t>
      </w:r>
      <w:r>
        <w:rPr>
          <w:spacing w:val="-3"/>
          <w:sz w:val="24"/>
        </w:rPr>
        <w:t xml:space="preserve"> </w:t>
      </w:r>
      <w:r>
        <w:rPr>
          <w:sz w:val="24"/>
        </w:rPr>
        <w:t>seguita;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1" w:hanging="283"/>
        <w:rPr>
          <w:sz w:val="24"/>
        </w:rPr>
      </w:pPr>
      <w:r>
        <w:rPr>
          <w:sz w:val="24"/>
        </w:rPr>
        <w:t>per la caccia alla piccola selvaggina è consentito esclusivamente l’utilizzo di munizioni spezzate con pallini di diametro non superiore a 3,9 mm (numero</w:t>
      </w:r>
      <w:r>
        <w:rPr>
          <w:spacing w:val="-4"/>
          <w:sz w:val="24"/>
        </w:rPr>
        <w:t xml:space="preserve"> </w:t>
      </w:r>
      <w:r>
        <w:rPr>
          <w:sz w:val="24"/>
        </w:rPr>
        <w:t>0);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right="139" w:hanging="283"/>
        <w:rPr>
          <w:sz w:val="24"/>
        </w:rPr>
      </w:pPr>
      <w:r>
        <w:rPr>
          <w:sz w:val="24"/>
        </w:rPr>
        <w:t xml:space="preserve">obbligo di vaccinazione contro il cimurro, </w:t>
      </w:r>
      <w:proofErr w:type="spellStart"/>
      <w:r>
        <w:rPr>
          <w:sz w:val="24"/>
        </w:rPr>
        <w:t>parvovirosi</w:t>
      </w:r>
      <w:proofErr w:type="spellEnd"/>
      <w:r>
        <w:rPr>
          <w:sz w:val="24"/>
        </w:rPr>
        <w:t>, epatite infettiva e leptospirosi (tutte ri</w:t>
      </w:r>
      <w:r>
        <w:rPr>
          <w:sz w:val="24"/>
        </w:rPr>
        <w:t>comprese in un unico ciclo vaccinale) per tutti i cani da caccia che frequentano</w:t>
      </w:r>
      <w:r>
        <w:rPr>
          <w:spacing w:val="-9"/>
          <w:sz w:val="24"/>
        </w:rPr>
        <w:t xml:space="preserve"> </w:t>
      </w:r>
      <w:r>
        <w:rPr>
          <w:sz w:val="24"/>
        </w:rPr>
        <w:t>l’area;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hanging="283"/>
        <w:rPr>
          <w:sz w:val="24"/>
        </w:rPr>
      </w:pPr>
      <w:r>
        <w:rPr>
          <w:sz w:val="24"/>
        </w:rPr>
        <w:t>divieto di addestramento e allenamento dei</w:t>
      </w:r>
      <w:r>
        <w:rPr>
          <w:spacing w:val="2"/>
          <w:sz w:val="24"/>
        </w:rPr>
        <w:t xml:space="preserve"> </w:t>
      </w:r>
      <w:r>
        <w:rPr>
          <w:sz w:val="24"/>
        </w:rPr>
        <w:t>cani;</w:t>
      </w:r>
    </w:p>
    <w:p w:rsidR="00503F4F" w:rsidRDefault="00316DA4">
      <w:pPr>
        <w:pStyle w:val="Paragrafoelenco"/>
        <w:numPr>
          <w:ilvl w:val="1"/>
          <w:numId w:val="1"/>
        </w:numPr>
        <w:tabs>
          <w:tab w:val="left" w:pos="541"/>
        </w:tabs>
        <w:ind w:hanging="283"/>
        <w:rPr>
          <w:sz w:val="24"/>
        </w:rPr>
      </w:pPr>
      <w:r>
        <w:rPr>
          <w:sz w:val="24"/>
        </w:rPr>
        <w:t>divieto di svolgimento delle gare</w:t>
      </w:r>
      <w:r>
        <w:rPr>
          <w:spacing w:val="-3"/>
          <w:sz w:val="24"/>
        </w:rPr>
        <w:t xml:space="preserve"> </w:t>
      </w:r>
      <w:r>
        <w:rPr>
          <w:sz w:val="24"/>
        </w:rPr>
        <w:t>cinofile.</w:t>
      </w:r>
    </w:p>
    <w:p w:rsidR="00503F4F" w:rsidRDefault="00503F4F">
      <w:pPr>
        <w:pStyle w:val="Corpodeltesto"/>
        <w:spacing w:before="5"/>
        <w:ind w:left="0"/>
        <w:rPr>
          <w:sz w:val="34"/>
        </w:rPr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1"/>
        </w:tabs>
        <w:ind w:right="130"/>
        <w:jc w:val="both"/>
        <w:rPr>
          <w:sz w:val="24"/>
        </w:rPr>
      </w:pPr>
      <w:r>
        <w:rPr>
          <w:sz w:val="24"/>
        </w:rPr>
        <w:t>La Direzione Regionale Capitale Naturale, Parchi e Aree Protette provvede</w:t>
      </w:r>
      <w:r>
        <w:rPr>
          <w:sz w:val="24"/>
        </w:rPr>
        <w:t xml:space="preserve"> a fornire alle Aree Decentrate Agricoltura di Rieti e di Frosinone, agli ATC RI1 RI2 FR1 FR2 e a tutti i Comuni interessati la cartografia sopra citata Tavole 1, 2 e 3. Detta cartografia sarà altresì pubblicata sul sito</w:t>
      </w:r>
      <w:r>
        <w:rPr>
          <w:spacing w:val="-1"/>
          <w:sz w:val="24"/>
        </w:rPr>
        <w:t xml:space="preserve"> </w:t>
      </w:r>
      <w:r>
        <w:rPr>
          <w:sz w:val="24"/>
        </w:rPr>
        <w:t>regionale.</w:t>
      </w:r>
    </w:p>
    <w:p w:rsidR="00503F4F" w:rsidRDefault="00503F4F">
      <w:pPr>
        <w:jc w:val="both"/>
        <w:rPr>
          <w:sz w:val="24"/>
        </w:rPr>
        <w:sectPr w:rsidR="00503F4F">
          <w:pgSz w:w="11910" w:h="16840"/>
          <w:pgMar w:top="1400" w:right="1000" w:bottom="280" w:left="1020" w:header="720" w:footer="720" w:gutter="0"/>
          <w:cols w:space="720"/>
        </w:sectPr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1"/>
        </w:tabs>
        <w:spacing w:before="72"/>
        <w:ind w:right="131"/>
        <w:jc w:val="both"/>
        <w:rPr>
          <w:sz w:val="24"/>
        </w:rPr>
      </w:pPr>
      <w:r>
        <w:rPr>
          <w:sz w:val="24"/>
        </w:rPr>
        <w:lastRenderedPageBreak/>
        <w:t>Le Aree De</w:t>
      </w:r>
      <w:r>
        <w:rPr>
          <w:sz w:val="24"/>
        </w:rPr>
        <w:t>centrate Agricoltura di Rieti e Frosinone inseriscono puntuale riferimento alle presenti Misure a tutela dell’Orso bruno marsicano, nelle autorizzazioni delle squadre di caccia al cinghiale che operano all’interno di tali</w:t>
      </w:r>
      <w:r>
        <w:rPr>
          <w:spacing w:val="-1"/>
          <w:sz w:val="24"/>
        </w:rPr>
        <w:t xml:space="preserve"> </w:t>
      </w:r>
      <w:r>
        <w:rPr>
          <w:sz w:val="24"/>
        </w:rPr>
        <w:t>Aree.</w:t>
      </w:r>
    </w:p>
    <w:p w:rsidR="00503F4F" w:rsidRDefault="00503F4F">
      <w:pPr>
        <w:pStyle w:val="Corpodeltesto"/>
        <w:ind w:left="0"/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1"/>
        </w:tabs>
        <w:ind w:right="129"/>
        <w:jc w:val="both"/>
        <w:rPr>
          <w:sz w:val="24"/>
        </w:rPr>
      </w:pPr>
      <w:r>
        <w:rPr>
          <w:sz w:val="24"/>
        </w:rPr>
        <w:t>Per quanto non espressament</w:t>
      </w:r>
      <w:r>
        <w:rPr>
          <w:sz w:val="24"/>
        </w:rPr>
        <w:t xml:space="preserve">e previsto nel presente Decreto si applicano le disposizioni di cui alla Legge n. 157/92, alla </w:t>
      </w:r>
      <w:proofErr w:type="spellStart"/>
      <w:r>
        <w:rPr>
          <w:sz w:val="24"/>
        </w:rPr>
        <w:t>L.R.</w:t>
      </w:r>
      <w:proofErr w:type="spellEnd"/>
      <w:r>
        <w:rPr>
          <w:sz w:val="24"/>
        </w:rPr>
        <w:t xml:space="preserve"> n. 17/95 e loro successive modificazioni, alla </w:t>
      </w:r>
      <w:proofErr w:type="spellStart"/>
      <w:r>
        <w:rPr>
          <w:sz w:val="24"/>
        </w:rPr>
        <w:t>D.C.R.</w:t>
      </w:r>
      <w:proofErr w:type="spellEnd"/>
      <w:r>
        <w:rPr>
          <w:sz w:val="24"/>
        </w:rPr>
        <w:t xml:space="preserve"> n. 450/98 e successive modificazioni ed integrazioni, alla </w:t>
      </w:r>
      <w:proofErr w:type="spellStart"/>
      <w:r>
        <w:rPr>
          <w:sz w:val="24"/>
        </w:rPr>
        <w:t>D.G.R</w:t>
      </w:r>
      <w:proofErr w:type="spellEnd"/>
      <w:r>
        <w:rPr>
          <w:sz w:val="24"/>
        </w:rPr>
        <w:t xml:space="preserve"> n. 612/2011, al </w:t>
      </w:r>
      <w:proofErr w:type="spellStart"/>
      <w:r>
        <w:rPr>
          <w:sz w:val="24"/>
        </w:rPr>
        <w:t>D.P.R.L.</w:t>
      </w:r>
      <w:proofErr w:type="spellEnd"/>
      <w:r>
        <w:rPr>
          <w:sz w:val="24"/>
        </w:rPr>
        <w:t xml:space="preserve"> n. T00176/20</w:t>
      </w:r>
      <w:r>
        <w:rPr>
          <w:sz w:val="24"/>
        </w:rPr>
        <w:t xml:space="preserve">18 concernente: “Disciplinare per la gestione della specie cinghiale nella Regione Lazio, stagione venatoria 2018-2019” ed al </w:t>
      </w:r>
      <w:proofErr w:type="spellStart"/>
      <w:r>
        <w:rPr>
          <w:sz w:val="24"/>
        </w:rPr>
        <w:t>D.P.R.L.</w:t>
      </w:r>
      <w:proofErr w:type="spellEnd"/>
      <w:r>
        <w:rPr>
          <w:sz w:val="24"/>
        </w:rPr>
        <w:t xml:space="preserve"> n. T00171/2018 concernente: “Calendario venatorio e regolamento per la stagione venatoria</w:t>
      </w:r>
      <w:r>
        <w:rPr>
          <w:spacing w:val="-5"/>
          <w:sz w:val="24"/>
        </w:rPr>
        <w:t xml:space="preserve"> </w:t>
      </w:r>
      <w:r>
        <w:rPr>
          <w:sz w:val="24"/>
        </w:rPr>
        <w:t>2018/2019”.</w:t>
      </w:r>
    </w:p>
    <w:p w:rsidR="00503F4F" w:rsidRDefault="00503F4F">
      <w:pPr>
        <w:pStyle w:val="Corpodeltesto"/>
        <w:ind w:left="0"/>
      </w:pPr>
    </w:p>
    <w:p w:rsidR="00503F4F" w:rsidRDefault="00316DA4">
      <w:pPr>
        <w:pStyle w:val="Paragrafoelenco"/>
        <w:numPr>
          <w:ilvl w:val="0"/>
          <w:numId w:val="1"/>
        </w:numPr>
        <w:tabs>
          <w:tab w:val="left" w:pos="541"/>
        </w:tabs>
        <w:ind w:right="130"/>
        <w:jc w:val="both"/>
        <w:rPr>
          <w:sz w:val="24"/>
        </w:rPr>
      </w:pPr>
      <w:r>
        <w:rPr>
          <w:sz w:val="24"/>
        </w:rPr>
        <w:t>Il controllo sull’</w:t>
      </w:r>
      <w:r>
        <w:rPr>
          <w:sz w:val="24"/>
        </w:rPr>
        <w:t xml:space="preserve">osservanza delle disposizioni vigenti nelle aree a tutela dell’Orso bruno marsicano da applicarsi nelle aree critiche: “Monti del </w:t>
      </w:r>
      <w:proofErr w:type="spellStart"/>
      <w:r>
        <w:rPr>
          <w:sz w:val="24"/>
        </w:rPr>
        <w:t>Cicolano</w:t>
      </w:r>
      <w:proofErr w:type="spellEnd"/>
      <w:r>
        <w:rPr>
          <w:sz w:val="24"/>
        </w:rPr>
        <w:t xml:space="preserve">”, “Monti </w:t>
      </w:r>
      <w:proofErr w:type="spellStart"/>
      <w:r>
        <w:rPr>
          <w:sz w:val="24"/>
        </w:rPr>
        <w:t>Ernici</w:t>
      </w:r>
      <w:proofErr w:type="spellEnd"/>
      <w:r>
        <w:rPr>
          <w:sz w:val="24"/>
        </w:rPr>
        <w:t>”, “area adiacente al Parco Nazionale d’Abruzzo, Lazio e Molise” e nelle Zone Speciali di Conservazion</w:t>
      </w:r>
      <w:r>
        <w:rPr>
          <w:sz w:val="24"/>
        </w:rPr>
        <w:t>e (ZSC) con presenza di Orso bruno è affidato agli organi previsti dalla normativa vigente.</w:t>
      </w:r>
    </w:p>
    <w:p w:rsidR="00503F4F" w:rsidRDefault="00503F4F">
      <w:pPr>
        <w:jc w:val="both"/>
        <w:rPr>
          <w:sz w:val="24"/>
        </w:rPr>
        <w:sectPr w:rsidR="00503F4F">
          <w:pgSz w:w="11910" w:h="16840"/>
          <w:pgMar w:top="1320" w:right="1000" w:bottom="280" w:left="1020" w:header="720" w:footer="720" w:gutter="0"/>
          <w:cols w:space="720"/>
        </w:sectPr>
      </w:pPr>
    </w:p>
    <w:p w:rsidR="00503F4F" w:rsidRDefault="00503F4F">
      <w:pPr>
        <w:pStyle w:val="Corpodeltesto"/>
        <w:ind w:left="1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84.2pt;height:692.25pt;mso-position-horizontal-relative:char;mso-position-vertical-relative:line" coordsize="9684,13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9684;height:13845">
              <v:imagedata r:id="rId7" o:title=""/>
            </v:shape>
            <v:rect id="_x0000_s1032" style="position:absolute;left:7811;top:11298;width:143;height:1602" stroked="f"/>
            <v:rect id="_x0000_s1031" style="position:absolute;left:7811;top:11298;width:143;height:1602" filled="f" strokecolor="white"/>
            <w10:wrap type="none"/>
            <w10:anchorlock/>
          </v:group>
        </w:pict>
      </w:r>
    </w:p>
    <w:p w:rsidR="00503F4F" w:rsidRDefault="00503F4F">
      <w:pPr>
        <w:rPr>
          <w:sz w:val="20"/>
        </w:rPr>
        <w:sectPr w:rsidR="00503F4F">
          <w:headerReference w:type="default" r:id="rId8"/>
          <w:pgSz w:w="11910" w:h="16840"/>
          <w:pgMar w:top="1680" w:right="1000" w:bottom="280" w:left="1020" w:header="1421" w:footer="0" w:gutter="0"/>
          <w:pgNumType w:start="1"/>
          <w:cols w:space="720"/>
        </w:sectPr>
      </w:pPr>
    </w:p>
    <w:p w:rsidR="00503F4F" w:rsidRDefault="00503F4F">
      <w:pPr>
        <w:pStyle w:val="Corpodeltesto"/>
        <w:ind w:left="1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2.25pt;height:689.3pt;mso-position-horizontal-relative:char;mso-position-vertical-relative:line" coordsize="9645,13786">
            <v:shape id="_x0000_s1029" type="#_x0000_t75" style="position:absolute;width:9645;height:13786">
              <v:imagedata r:id="rId9" o:title=""/>
            </v:shape>
            <v:rect id="_x0000_s1028" style="position:absolute;left:7748;top:11275;width:143;height:1575" stroked="f"/>
            <v:rect id="_x0000_s1027" style="position:absolute;left:7748;top:11275;width:143;height:1575" filled="f" strokecolor="white"/>
            <w10:wrap type="none"/>
            <w10:anchorlock/>
          </v:group>
        </w:pict>
      </w:r>
    </w:p>
    <w:p w:rsidR="00503F4F" w:rsidRDefault="00503F4F">
      <w:pPr>
        <w:rPr>
          <w:sz w:val="20"/>
        </w:rPr>
        <w:sectPr w:rsidR="00503F4F">
          <w:pgSz w:w="11910" w:h="16840"/>
          <w:pgMar w:top="1680" w:right="1000" w:bottom="280" w:left="1020" w:header="1421" w:footer="0" w:gutter="0"/>
          <w:cols w:space="720"/>
        </w:sectPr>
      </w:pPr>
    </w:p>
    <w:p w:rsidR="00503F4F" w:rsidRDefault="00316DA4">
      <w:pPr>
        <w:pStyle w:val="Corpodeltesto"/>
        <w:ind w:left="1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27071" cy="877176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071" cy="87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F4F" w:rsidSect="00503F4F">
      <w:pgSz w:w="11910" w:h="16840"/>
      <w:pgMar w:top="1680" w:right="1000" w:bottom="280" w:left="1020" w:header="142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DA4" w:rsidRDefault="00316DA4" w:rsidP="00503F4F">
      <w:r>
        <w:separator/>
      </w:r>
    </w:p>
  </w:endnote>
  <w:endnote w:type="continuationSeparator" w:id="0">
    <w:p w:rsidR="00316DA4" w:rsidRDefault="00316DA4" w:rsidP="00503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DA4" w:rsidRDefault="00316DA4" w:rsidP="00503F4F">
      <w:r>
        <w:separator/>
      </w:r>
    </w:p>
  </w:footnote>
  <w:footnote w:type="continuationSeparator" w:id="0">
    <w:p w:rsidR="00316DA4" w:rsidRDefault="00316DA4" w:rsidP="00503F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4F" w:rsidRDefault="00503F4F">
    <w:pPr>
      <w:pStyle w:val="Corpodeltesto"/>
      <w:spacing w:line="14" w:lineRule="auto"/>
      <w:ind w:left="0"/>
      <w:rPr>
        <w:sz w:val="20"/>
      </w:rPr>
    </w:pPr>
    <w:r w:rsidRPr="00503F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70.05pt;width:61.25pt;height:15.3pt;z-index:-251658752;mso-position-horizontal-relative:page;mso-position-vertical-relative:page" filled="f" stroked="f">
          <v:textbox inset="0,0,0,0">
            <w:txbxContent>
              <w:p w:rsidR="00503F4F" w:rsidRDefault="00316DA4">
                <w:pPr>
                  <w:pStyle w:val="Corpodeltesto"/>
                  <w:spacing w:before="10"/>
                  <w:ind w:left="20"/>
                </w:pPr>
                <w:r>
                  <w:t xml:space="preserve">TAVOLA </w:t>
                </w:r>
                <w:r w:rsidR="00503F4F">
                  <w:fldChar w:fldCharType="begin"/>
                </w:r>
                <w:r>
                  <w:instrText xml:space="preserve"> PAGE </w:instrText>
                </w:r>
                <w:r w:rsidR="00503F4F">
                  <w:fldChar w:fldCharType="separate"/>
                </w:r>
                <w:r w:rsidR="005D297F">
                  <w:rPr>
                    <w:noProof/>
                  </w:rPr>
                  <w:t>3</w:t>
                </w:r>
                <w:r w:rsidR="00503F4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8759D"/>
    <w:multiLevelType w:val="hybridMultilevel"/>
    <w:tmpl w:val="B2F4D3DA"/>
    <w:lvl w:ilvl="0" w:tplc="117AC274">
      <w:start w:val="1"/>
      <w:numFmt w:val="decimal"/>
      <w:lvlText w:val="%1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t-IT" w:eastAsia="it-IT" w:bidi="it-IT"/>
      </w:rPr>
    </w:lvl>
    <w:lvl w:ilvl="1" w:tplc="96082D20">
      <w:numFmt w:val="bullet"/>
      <w:lvlText w:val=""/>
      <w:lvlJc w:val="left"/>
      <w:pPr>
        <w:ind w:left="540" w:hanging="286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2" w:tplc="753CD812">
      <w:numFmt w:val="bullet"/>
      <w:lvlText w:val="•"/>
      <w:lvlJc w:val="left"/>
      <w:pPr>
        <w:ind w:left="2409" w:hanging="286"/>
      </w:pPr>
      <w:rPr>
        <w:rFonts w:hint="default"/>
        <w:lang w:val="it-IT" w:eastAsia="it-IT" w:bidi="it-IT"/>
      </w:rPr>
    </w:lvl>
    <w:lvl w:ilvl="3" w:tplc="CB9CDDFA">
      <w:numFmt w:val="bullet"/>
      <w:lvlText w:val="•"/>
      <w:lvlJc w:val="left"/>
      <w:pPr>
        <w:ind w:left="3343" w:hanging="286"/>
      </w:pPr>
      <w:rPr>
        <w:rFonts w:hint="default"/>
        <w:lang w:val="it-IT" w:eastAsia="it-IT" w:bidi="it-IT"/>
      </w:rPr>
    </w:lvl>
    <w:lvl w:ilvl="4" w:tplc="839441BE">
      <w:numFmt w:val="bullet"/>
      <w:lvlText w:val="•"/>
      <w:lvlJc w:val="left"/>
      <w:pPr>
        <w:ind w:left="4278" w:hanging="286"/>
      </w:pPr>
      <w:rPr>
        <w:rFonts w:hint="default"/>
        <w:lang w:val="it-IT" w:eastAsia="it-IT" w:bidi="it-IT"/>
      </w:rPr>
    </w:lvl>
    <w:lvl w:ilvl="5" w:tplc="6A941B6E">
      <w:numFmt w:val="bullet"/>
      <w:lvlText w:val="•"/>
      <w:lvlJc w:val="left"/>
      <w:pPr>
        <w:ind w:left="5213" w:hanging="286"/>
      </w:pPr>
      <w:rPr>
        <w:rFonts w:hint="default"/>
        <w:lang w:val="it-IT" w:eastAsia="it-IT" w:bidi="it-IT"/>
      </w:rPr>
    </w:lvl>
    <w:lvl w:ilvl="6" w:tplc="D5B04674">
      <w:numFmt w:val="bullet"/>
      <w:lvlText w:val="•"/>
      <w:lvlJc w:val="left"/>
      <w:pPr>
        <w:ind w:left="6147" w:hanging="286"/>
      </w:pPr>
      <w:rPr>
        <w:rFonts w:hint="default"/>
        <w:lang w:val="it-IT" w:eastAsia="it-IT" w:bidi="it-IT"/>
      </w:rPr>
    </w:lvl>
    <w:lvl w:ilvl="7" w:tplc="63D69FE8">
      <w:numFmt w:val="bullet"/>
      <w:lvlText w:val="•"/>
      <w:lvlJc w:val="left"/>
      <w:pPr>
        <w:ind w:left="7082" w:hanging="286"/>
      </w:pPr>
      <w:rPr>
        <w:rFonts w:hint="default"/>
        <w:lang w:val="it-IT" w:eastAsia="it-IT" w:bidi="it-IT"/>
      </w:rPr>
    </w:lvl>
    <w:lvl w:ilvl="8" w:tplc="0A84D894">
      <w:numFmt w:val="bullet"/>
      <w:lvlText w:val="•"/>
      <w:lvlJc w:val="left"/>
      <w:pPr>
        <w:ind w:left="8017" w:hanging="286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03F4F"/>
    <w:rsid w:val="00316DA4"/>
    <w:rsid w:val="00503F4F"/>
    <w:rsid w:val="005D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503F4F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3F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503F4F"/>
    <w:pPr>
      <w:ind w:left="540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503F4F"/>
    <w:pPr>
      <w:ind w:left="540" w:hanging="286"/>
    </w:pPr>
  </w:style>
  <w:style w:type="paragraph" w:customStyle="1" w:styleId="TableParagraph">
    <w:name w:val="Table Paragraph"/>
    <w:basedOn w:val="Normale"/>
    <w:uiPriority w:val="1"/>
    <w:qFormat/>
    <w:rsid w:val="00503F4F"/>
    <w:pPr>
      <w:spacing w:line="225" w:lineRule="exact"/>
      <w:ind w:left="1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1108</Words>
  <Characters>6319</Characters>
  <Application>Microsoft Office Word</Application>
  <DocSecurity>0</DocSecurity>
  <Lines>52</Lines>
  <Paragraphs>14</Paragraphs>
  <ScaleCrop>false</ScaleCrop>
  <Company>Hewlett-Packard Company</Company>
  <LinksUpToDate>false</LinksUpToDate>
  <CharactersWithSpaces>7413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</dc:title>
  <dc:creator>Bruno Petrucci</dc:creator>
  <cp:lastModifiedBy>FDC1</cp:lastModifiedBy>
  <cp:revision>2</cp:revision>
  <dcterms:created xsi:type="dcterms:W3CDTF">2018-10-30T11:20:00Z</dcterms:created>
  <dcterms:modified xsi:type="dcterms:W3CDTF">2018-10-30T11:20:00Z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2018-10-30T00:00:00Z</vt:filetime>
  </property>
</Properties>
</file>